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rFonts w:ascii="Calibri" w:hAnsi="Calibri" w:cs="Calibri"/>
          <w:b/>
          <w:i w:val="0"/>
          <w:color w:val="101317"/>
          <w:sz w:val="40"/>
        </w:rPr>
        <w:t>Literate-AI: the application foundry</w:t>
      </w:r>
    </w:p>
    <w:p>
      <w:pPr>
        <w:spacing w:after="200" w:line="240" w:lineRule="auto"/>
      </w:pPr>
      <w:r>
        <w:rPr>
          <w:rFonts w:ascii="Calibri" w:hAnsi="Calibri" w:cs="Calibri"/>
          <w:b w:val="0"/>
          <w:i w:val="0"/>
          <w:color w:val="101317"/>
          <w:sz w:val="24"/>
        </w:rPr>
        <w:t>This is the 1.3.0 edition of the narrative member of component://literate-ai/literate-ai-overview. It is the comprehensive technical account that accompanies the 26-slide presentation built from deck-specification.md. Both members share the factual ledger in source-notes.md and must not diverge on a shared claim. This edition is the major/minor regeneration required before the 1.3.0 cut. Tag v1.2.0 is already published; this document describes implemented candidate authority, does not claim that v1.3.0 is already published, and does not grant release authority.</w:t>
      </w:r>
    </w:p>
    <w:p>
      <w:pPr>
        <w:pStyle w:val="Heading2"/>
      </w:pPr>
      <w:r>
        <w:rPr>
          <w:rFonts w:ascii="Calibri" w:hAnsi="Calibri" w:cs="Calibri"/>
          <w:b/>
          <w:i w:val="0"/>
          <w:color w:val="101317"/>
          <w:sz w:val="36"/>
        </w:rPr>
        <w:t>What problem this solves</w:t>
      </w:r>
    </w:p>
    <w:p>
      <w:pPr>
        <w:spacing w:after="200" w:line="240" w:lineRule="auto"/>
      </w:pPr>
      <w:r>
        <w:rPr>
          <w:rFonts w:ascii="Calibri" w:hAnsi="Calibri" w:cs="Calibri"/>
          <w:b w:val="0"/>
          <w:i w:val="0"/>
          <w:color w:val="101317"/>
          <w:sz w:val="24"/>
        </w:rPr>
        <w:t>Software still scales by copying implementation. Each product, platform, and repository inherits another version of the same knowledge, and another place for it to drift. Literate-AI inverts that: a Component specification is the durable, human-readable authority; generated source is an untrusted candidate until build, test, execution, independent acceptance, and receipt requirements pass. The goal is not better code generation. It is an application foundry — governed creation of complete applications, then a living portfolio of shared capabilities.</w:t>
      </w:r>
    </w:p>
    <w:p>
      <w:pPr>
        <w:pStyle w:val="Heading2"/>
      </w:pPr>
      <w:r>
        <w:rPr>
          <w:rFonts w:ascii="Calibri" w:hAnsi="Calibri" w:cs="Calibri"/>
          <w:b/>
          <w:i w:val="0"/>
          <w:color w:val="101317"/>
          <w:sz w:val="36"/>
        </w:rPr>
        <w:t>Who this document is for</w:t>
      </w:r>
    </w:p>
    <w:p>
      <w:pPr>
        <w:spacing w:after="200" w:line="240" w:lineRule="auto"/>
      </w:pPr>
      <w:r>
        <w:rPr>
          <w:rFonts w:ascii="Calibri" w:hAnsi="Calibri" w:cs="Calibri"/>
          <w:b w:val="0"/>
          <w:i w:val="0"/>
          <w:color w:val="101317"/>
          <w:sz w:val="24"/>
        </w:rPr>
        <w:t>This narrative is for an engineer evaluating adoption, an architect reviewing the control model, or a manager who wants the deck's claims traced to their source. It is one cumulative account for product, program, engineering, and executive readers. It does not invent productivity or return-on-investment percentages. Forward-looking sections are labeled as a target horizon, not a measured delivery guarantee.</w:t>
      </w:r>
    </w:p>
    <w:p>
      <w:pPr>
        <w:pStyle w:val="Heading1"/>
      </w:pPr>
      <w:r>
        <w:rPr>
          <w:rFonts w:ascii="Calibri" w:hAnsi="Calibri" w:cs="Calibri"/>
          <w:b/>
          <w:i w:val="0"/>
          <w:color w:val="101317"/>
          <w:sz w:val="40"/>
        </w:rPr>
        <w:t>The control model</w:t>
      </w:r>
    </w:p>
    <w:p>
      <w:pPr>
        <w:pStyle w:val="Heading2"/>
      </w:pPr>
      <w:r>
        <w:rPr>
          <w:rFonts w:ascii="Calibri" w:hAnsi="Calibri" w:cs="Calibri"/>
          <w:b/>
          <w:i w:val="0"/>
          <w:color w:val="101317"/>
          <w:sz w:val="36"/>
        </w:rPr>
        <w:t>Readable intent as the durable product</w:t>
      </w:r>
    </w:p>
    <w:p>
      <w:pPr>
        <w:spacing w:after="200" w:line="240" w:lineRule="auto"/>
      </w:pPr>
      <w:r>
        <w:rPr>
          <w:rFonts w:ascii="Calibri" w:hAnsi="Calibri" w:cs="Calibri"/>
          <w:b w:val="0"/>
          <w:i w:val="0"/>
          <w:color w:val="101317"/>
          <w:sz w:val="24"/>
        </w:rPr>
        <w:t>A Component specification is a readable file. Requirements, scenarios, and the public capability contract are the product. Language, build system, operating system, and the entire source tree sit below that line: they are Flavor choices and regeneration targets. Authority: docs/architecture/component-execution-plans.md and the sample at components/money-calculation/.</w:t>
      </w:r>
    </w:p>
    <w:p>
      <w:pPr>
        <w:pStyle w:val="Heading2"/>
      </w:pPr>
      <w:r>
        <w:rPr>
          <w:rFonts w:ascii="Calibri" w:hAnsi="Calibri" w:cs="Calibri"/>
          <w:b/>
          <w:i w:val="0"/>
          <w:color w:val="101317"/>
          <w:sz w:val="36"/>
        </w:rPr>
        <w:t>Implementation as a renewable candidate</w:t>
      </w:r>
    </w:p>
    <w:p>
      <w:pPr>
        <w:spacing w:after="200" w:line="240" w:lineRule="auto"/>
      </w:pPr>
      <w:r>
        <w:rPr>
          <w:rFonts w:ascii="Calibri" w:hAnsi="Calibri" w:cs="Calibri"/>
          <w:b w:val="0"/>
          <w:i w:val="0"/>
          <w:color w:val="101317"/>
          <w:sz w:val="24"/>
        </w:rPr>
        <w:t>Generated source holds no build, acceptance, cache-membership, or publication authority until the current gates pass. An accepted-source cache hit still runs the complete current index, authorization, build, test, execution, and acceptance sequence, and is not republished. Cache identity is the narrow boundary the model rests on.</w:t>
      </w:r>
    </w:p>
    <w:p>
      <w:pPr>
        <w:pStyle w:val="Heading2"/>
      </w:pPr>
      <w:r>
        <w:rPr>
          <w:rFonts w:ascii="Calibri" w:hAnsi="Calibri" w:cs="Calibri"/>
          <w:b/>
          <w:i w:val="0"/>
          <w:color w:val="101317"/>
          <w:sz w:val="36"/>
        </w:rPr>
        <w:t>The Component specification as durable authority</w:t>
      </w:r>
    </w:p>
    <w:p>
      <w:pPr>
        <w:pStyle w:val="Heading3"/>
      </w:pPr>
      <w:r>
        <w:rPr>
          <w:rFonts w:ascii="Calibri" w:hAnsi="Calibri" w:cs="Calibri"/>
          <w:b/>
          <w:i w:val="0"/>
          <w:color w:val="101317"/>
          <w:sz w:val="32"/>
        </w:rPr>
        <w:t>A real specification excerpt</w:t>
      </w:r>
    </w:p>
    <w:p>
      <w:pPr>
        <w:spacing w:after="200" w:line="240" w:lineRule="auto"/>
      </w:pPr>
      <w:r>
        <w:rPr>
          <w:rFonts w:ascii="Calibri" w:hAnsi="Calibri" w:cs="Calibri"/>
          <w:b w:val="0"/>
          <w:i w:val="0"/>
          <w:color w:val="101317"/>
          <w:sz w:val="24"/>
        </w:rPr>
        <w:t>The presentation member quotes components/money-calculation/component.md. The requirement and scenario below are taken from that file, not invented for this document:</w:t>
      </w:r>
    </w:p>
    <w:p>
      <w:pPr>
        <w:spacing w:before="120" w:after="200"/>
        <w:ind w:left="360"/>
      </w:pPr>
      <w:r>
        <w:rPr>
          <w:rFonts w:ascii="Courier New" w:hAnsi="Courier New" w:cs="Courier New"/>
          <w:b w:val="0"/>
          <w:i w:val="0"/>
          <w:color w:val="65707C"/>
          <w:sz w:val="18"/>
        </w:rPr>
        <w:t>### Requirement: Exact integer discount calculation</w:t>
        <w:br/>
        <w:t>The Component's portable `run` entrypoint SHALL accept one UTF-8 JSON argument array whose two ordered values are a non-negative integer subtotal in cents and a discount in basis points from 0 through 10000, compute the discount as floor((subtotal_cents * discount_basis_points + 5000) / 10000), and return integer subtotal_cents, discount_cents, and total_cents fields.</w:t>
        <w:br/>
        <w:br/>
        <w:t>#### Scenario: Half-up discount rounding</w:t>
        <w:br/>
        <w:t>- WHEN a 999-cent subtotal receives a 1250-basis-point discount</w:t>
        <w:br/>
        <w:t>- THEN the discount is 125 cents and the total is 874 cents</w:t>
      </w:r>
    </w:p>
    <w:p>
      <w:pPr>
        <w:pStyle w:val="Heading3"/>
      </w:pPr>
      <w:r>
        <w:rPr>
          <w:rFonts w:ascii="Calibri" w:hAnsi="Calibri" w:cs="Calibri"/>
          <w:b/>
          <w:i w:val="0"/>
          <w:color w:val="101317"/>
          <w:sz w:val="32"/>
        </w:rPr>
        <w:t>Its public capability contract</w:t>
      </w:r>
    </w:p>
    <w:p>
      <w:pPr>
        <w:spacing w:after="200" w:line="240" w:lineRule="auto"/>
      </w:pPr>
      <w:r>
        <w:rPr>
          <w:rFonts w:ascii="Calibri" w:hAnsi="Calibri" w:cs="Calibri"/>
          <w:b w:val="0"/>
          <w:i w:val="0"/>
          <w:color w:val="101317"/>
          <w:sz w:val="24"/>
        </w:rPr>
        <w:t>interfaces/money-calculation.md is the reuse boundary. Consumers bind to a public process contract, never to provider source layout:</w:t>
      </w:r>
    </w:p>
    <w:p>
      <w:pPr>
        <w:spacing w:before="120" w:after="200"/>
        <w:ind w:left="360"/>
      </w:pPr>
      <w:r>
        <w:rPr>
          <w:rFonts w:ascii="Courier New" w:hAnsi="Courier New" w:cs="Courier New"/>
          <w:b w:val="0"/>
          <w:i w:val="0"/>
          <w:color w:val="65707C"/>
          <w:sz w:val="18"/>
        </w:rPr>
        <w:t>This contract is language-neutral. The realized provider artifact SHALL expose its</w:t>
        <w:br/>
        <w:t>portable `run` entrypoint to consumers through the</w:t>
        <w:br/>
        <w:t>LITAI_CAPABILITY_MONEY_CALCULATION environment variable.</w:t>
        <w:br/>
        <w:br/>
        <w:t>Consumers SHALL use this public process contract and SHALL NOT import, copy, or depend on private provider source layout.</w:t>
      </w:r>
    </w:p>
    <w:p>
      <w:pPr>
        <w:pStyle w:val="Heading1"/>
      </w:pPr>
      <w:r>
        <w:rPr>
          <w:rFonts w:ascii="Calibri" w:hAnsi="Calibri" w:cs="Calibri"/>
          <w:b/>
          <w:i w:val="0"/>
          <w:color w:val="101317"/>
          <w:sz w:val="40"/>
        </w:rPr>
        <w:t>How generation works</w:t>
      </w:r>
    </w:p>
    <w:p>
      <w:pPr>
        <w:pStyle w:val="Heading2"/>
      </w:pPr>
      <w:r>
        <w:rPr>
          <w:rFonts w:ascii="Calibri" w:hAnsi="Calibri" w:cs="Calibri"/>
          <w:b/>
          <w:i w:val="0"/>
          <w:color w:val="101317"/>
          <w:sz w:val="36"/>
        </w:rPr>
        <w:t>Generation keys: what they bind, what they refuse to bind</w:t>
      </w:r>
    </w:p>
    <w:p>
      <w:pPr>
        <w:spacing w:after="200" w:line="240" w:lineRule="auto"/>
      </w:pPr>
      <w:r>
        <w:rPr>
          <w:rFonts w:ascii="Calibri" w:hAnsi="Calibri" w:cs="Calibri"/>
          <w:b w:val="0"/>
          <w:i w:val="0"/>
          <w:color w:val="101317"/>
          <w:sz w:val="24"/>
        </w:rPr>
        <w:t>A ComponentGenerationKey binds the ordered specification set and document identities, selected target and Flavors, specification-to-source skills, workflow, routing policy, model, authored assets, its own exported public-interface identities, and the public interfaces of its direct generation dependencies. It deliberately does not bind aggregate Component or authoring revisions, nor a dependency's revision, private specifications, source tree, build output, tests, routing policy, or skills. Authority: docs/architecture/component-execution-plans.md, Generation-key boundary.</w:t>
      </w:r>
    </w:p>
    <w:p>
      <w:pPr>
        <w:pStyle w:val="Heading3"/>
      </w:pPr>
      <w:r>
        <w:rPr>
          <w:rFonts w:ascii="Calibri" w:hAnsi="Calibri" w:cs="Calibri"/>
          <w:b/>
          <w:i w:val="0"/>
          <w:color w:val="101317"/>
          <w:sz w:val="32"/>
        </w:rPr>
        <w:t>Invalidation and its blast radius</w:t>
      </w:r>
    </w:p>
    <w:p>
      <w:pPr>
        <w:spacing w:after="200" w:line="240" w:lineRule="auto"/>
      </w:pPr>
      <w:r>
        <w:rPr>
          <w:rFonts w:ascii="Calibri" w:hAnsi="Calibri" w:cs="Calibri"/>
          <w:b w:val="0"/>
          <w:i w:val="0"/>
          <w:color w:val="101317"/>
          <w:sz w:val="24"/>
        </w:rPr>
        <w:t>A private leaf change invalidates the leaf only. An exported interface change invalidates the leaf and its direct consumers. A diamond dependency appears once per provider-first layer. A deeper private graph leaves the consumer key reusable. These are stated rules, not inferences. Binding aggregate revisions would be the easy implementation and would destroy both reuse and the acceptance-oracle separation.</w:t>
      </w:r>
    </w:p>
    <w:p>
      <w:pPr>
        <w:pStyle w:val="Heading2"/>
      </w:pPr>
      <w:r>
        <w:rPr>
          <w:rFonts w:ascii="Calibri" w:hAnsi="Calibri" w:cs="Calibri"/>
          <w:b/>
          <w:i w:val="0"/>
          <w:color w:val="101317"/>
          <w:sz w:val="36"/>
        </w:rPr>
        <w:t>Layered execution, bounded concurrency, exact budgets</w:t>
      </w:r>
    </w:p>
    <w:p>
      <w:pPr>
        <w:spacing w:after="200" w:line="240" w:lineRule="auto"/>
      </w:pPr>
      <w:r>
        <w:rPr>
          <w:rFonts w:ascii="Calibri" w:hAnsi="Calibri" w:cs="Calibri"/>
          <w:b w:val="0"/>
          <w:i w:val="0"/>
          <w:color w:val="101317"/>
          <w:sz w:val="24"/>
        </w:rPr>
        <w:t>Action plans schedule every locked revision in explicit zero-based layers with provider-before-consumer ordering. Independent nodes in a layer run concurrently up to an explicit bound. Results emit in canonical Component-revision order. Absent runtime measurements remain null rather than an invented zero, and a supplied measurement exceeding the exact budget fails the node while retaining observed values. A plan that cannot be scheduled is a stable planning error, not a failed generation.</w:t>
      </w:r>
    </w:p>
    <w:p>
      <w:pPr>
        <w:pStyle w:val="Heading2"/>
      </w:pPr>
      <w:r>
        <w:rPr>
          <w:rFonts w:ascii="Calibri" w:hAnsi="Calibri" w:cs="Calibri"/>
          <w:b/>
          <w:i w:val="0"/>
          <w:color w:val="101317"/>
          <w:sz w:val="36"/>
        </w:rPr>
        <w:t>The failure path</w:t>
      </w:r>
    </w:p>
    <w:p>
      <w:pPr>
        <w:pStyle w:val="Heading3"/>
      </w:pPr>
      <w:r>
        <w:rPr>
          <w:rFonts w:ascii="Calibri" w:hAnsi="Calibri" w:cs="Calibri"/>
          <w:b/>
          <w:i w:val="0"/>
          <w:color w:val="101317"/>
          <w:sz w:val="32"/>
        </w:rPr>
        <w:t>What happens when a gate fails</w:t>
      </w:r>
    </w:p>
    <w:p>
      <w:pPr>
        <w:spacing w:after="200" w:line="240" w:lineRule="auto"/>
      </w:pPr>
      <w:r>
        <w:rPr>
          <w:rFonts w:ascii="Calibri" w:hAnsi="Calibri" w:cs="Calibri"/>
          <w:b w:val="0"/>
          <w:i w:val="0"/>
          <w:color w:val="101317"/>
          <w:sz w:val="24"/>
        </w:rPr>
        <w:t>A failed provider cancels dependent generation nodes before their adapters are called, while independent branches continue. A different key fails closed before reuse. Failure custody retains sample scratch, installed workspaces, transcripts, and diagnostics on failed steps and reports their absolute paths; successful steps still clean up. Sample scratch remains outside the checkout; evidence custody points to that external directory rather than relocating a host build under _build/evidence/. This specifically closes the v0.5.2 host-E2E failure mode in which the failing sample's scratch disappeared with the run that produced it. Authority: src/literate_ai/evidence_ledger.py and src/literate_ai/step_harness.py.</w:t>
      </w:r>
    </w:p>
    <w:p>
      <w:pPr>
        <w:pStyle w:val="Heading2"/>
      </w:pPr>
      <w:r>
        <w:rPr>
          <w:rFonts w:ascii="Calibri" w:hAnsi="Calibri" w:cs="Calibri"/>
          <w:b/>
          <w:i w:val="0"/>
          <w:color w:val="101317"/>
          <w:sz w:val="36"/>
        </w:rPr>
        <w:t>The model-egress trust boundary</w:t>
      </w:r>
    </w:p>
    <w:p>
      <w:pPr>
        <w:pStyle w:val="Heading3"/>
      </w:pPr>
      <w:r>
        <w:rPr>
          <w:rFonts w:ascii="Calibri" w:hAnsi="Calibri" w:cs="Calibri"/>
          <w:b/>
          <w:i w:val="0"/>
          <w:color w:val="101317"/>
          <w:sz w:val="32"/>
        </w:rPr>
        <w:t>What never crosses it</w:t>
      </w:r>
    </w:p>
    <w:p>
      <w:pPr>
        <w:spacing w:after="200" w:line="240" w:lineRule="auto"/>
      </w:pPr>
      <w:r>
        <w:rPr>
          <w:rFonts w:ascii="Calibri" w:hAnsi="Calibri" w:cs="Calibri"/>
          <w:b w:val="0"/>
          <w:i w:val="0"/>
          <w:color w:val="101317"/>
          <w:sz w:val="24"/>
        </w:rPr>
        <w:t>A BuildRequestDeclaration names builder, toolchain, sandbox, privileges, and outputs before generated bytes exist, and deliberately cannot name a source bundle. Component hierarchy never authorizes context flattening: a consumer receives direct public contracts, not private transitive specifications, source, or tests.</w:t>
      </w:r>
    </w:p>
    <w:p>
      <w:pPr>
        <w:pStyle w:val="Heading3"/>
      </w:pPr>
      <w:r>
        <w:rPr>
          <w:rFonts w:ascii="Calibri" w:hAnsi="Calibri" w:cs="Calibri"/>
          <w:b/>
          <w:i w:val="0"/>
          <w:color w:val="101317"/>
          <w:sz w:val="32"/>
        </w:rPr>
        <w:t>Current containment state</w:t>
      </w:r>
    </w:p>
    <w:p>
      <w:pPr>
        <w:spacing w:after="200" w:line="240" w:lineRule="auto"/>
      </w:pPr>
      <w:r>
        <w:rPr>
          <w:rFonts w:ascii="Calibri" w:hAnsi="Calibri" w:cs="Calibri"/>
          <w:b w:val="0"/>
          <w:i w:val="0"/>
          <w:color w:val="101317"/>
          <w:sz w:val="24"/>
        </w:rPr>
        <w:t>The ordered isolation levels are host-yolo, process-limited, and os-sandboxed. A local sufficiency decision is explicitly unauthenticated-local and is neither execution authorization nor release evidence. Production containment is an architecture contract in this repository, not a shipped backend. The live sample path runs with explicit YOLO authorization as the host user, and only the source-to-specification observation path has narrower macOS sandbox-exec and Linux Bubblewrap adapters. Authority: docs/architecture/production-containment-threat-model.md.</w:t>
      </w:r>
    </w:p>
    <w:p>
      <w:pPr>
        <w:pStyle w:val="Heading1"/>
      </w:pPr>
      <w:r>
        <w:rPr>
          <w:rFonts w:ascii="Calibri" w:hAnsi="Calibri" w:cs="Calibri"/>
          <w:b/>
          <w:i w:val="0"/>
          <w:color w:val="101317"/>
          <w:sz w:val="40"/>
        </w:rPr>
        <w:t>Evidence: what exists today</w:t>
      </w:r>
    </w:p>
    <w:p>
      <w:pPr>
        <w:pStyle w:val="Heading2"/>
      </w:pPr>
      <w:r>
        <w:rPr>
          <w:rFonts w:ascii="Calibri" w:hAnsi="Calibri" w:cs="Calibri"/>
          <w:b/>
          <w:i w:val="0"/>
          <w:color w:val="101317"/>
          <w:sz w:val="36"/>
        </w:rPr>
        <w:t>The language, build-system, and operating-system Flavor matrix</w:t>
      </w:r>
    </w:p>
    <w:p>
      <w:pPr>
        <w:spacing w:after="200" w:line="240" w:lineRule="auto"/>
      </w:pPr>
      <w:r>
        <w:rPr>
          <w:rFonts w:ascii="Calibri" w:hAnsi="Calibri" w:cs="Calibri"/>
          <w:b w:val="0"/>
          <w:i w:val="0"/>
          <w:color w:val="101317"/>
          <w:sz w:val="24"/>
        </w:rPr>
        <w:t>These figures measure catalog surface area, not maturity or Cartesian qualification. The live language Flavor matrix is Python 3.11+, C++17, Rust 2021, JavaScript with Node.js 20+, TypeScript, Swift with explicit Apple/Linux/Windows toolchain realizations, Go, Zig, and Elixir with Erlang/OTP 27+. The live build-system Flavor matrix is Bazel, GNU Make, CMake, Cargo, Mix, and repo-man; Mix is new in 1.2. Bazel is a removable preference, never hard-coded authority. The live operating-system Flavor matrix is macOS, Linux, and Windows. The packaging Flavor catalog contains pip wheels, Conan, apt, Homebrew, WinGet, Chocolatey, Cargo, npm, and deterministic ZIP archives. Hex is not a package-provider Flavor: build-mix contributes a Hex toolchain constraint (flavors/build-mix/hex.json), and Hex packages are checksum-pinned dependency inputs rather than an output format. Compatible providers compose as independent selections. The current CLI provides exact, read-only multi-provider package planning and Standard-lifecycle-backed native construction and independent verification for deterministic pip wheels, portable Conan cache archives, and local Debian packages on compatible Linux hosts. Homebrew, WinGet, and Chocolatey construction remains open.</w:t>
      </w:r>
    </w:p>
    <w:p>
      <w:pPr>
        <w:spacing w:after="200" w:line="240" w:lineRule="auto"/>
      </w:pPr>
      <w:r>
        <w:rPr>
          <w:rFonts w:ascii="Calibri" w:hAnsi="Calibri" w:cs="Calibri"/>
          <w:b w:val="0"/>
          <w:i w:val="0"/>
          <w:color w:val="101317"/>
          <w:sz w:val="24"/>
        </w:rPr>
        <w:t>The current private user-owned inventory configures six workers spanning macOS ARM64, Windows 11 CPU/GPU, Ubuntu 24.04 CPU/GPU, and Ubuntu 26.04 CPU. That is configuration evidence, not a claim that the full Cartesian product has passed. Private destinations are not copied into this package.</w:t>
      </w:r>
    </w:p>
    <w:p>
      <w:pPr>
        <w:pStyle w:val="Heading2"/>
      </w:pPr>
      <w:r>
        <w:rPr>
          <w:rFonts w:ascii="Calibri" w:hAnsi="Calibri" w:cs="Calibri"/>
          <w:b/>
          <w:i w:val="0"/>
          <w:color w:val="101317"/>
          <w:sz w:val="36"/>
        </w:rPr>
        <w:t>Sample applications and what they verify</w:t>
      </w:r>
    </w:p>
    <w:p>
      <w:pPr>
        <w:spacing w:after="200" w:line="240" w:lineRule="auto"/>
      </w:pPr>
      <w:r>
        <w:rPr>
          <w:rFonts w:ascii="Calibri" w:hAnsi="Calibri" w:cs="Calibri"/>
          <w:b w:val="0"/>
          <w:i w:val="0"/>
          <w:color w:val="101317"/>
          <w:sz w:val="24"/>
        </w:rPr>
        <w:t>The sample harness catalogs 26 behavior applications. Three are OS-pinned: Linux Cgroup Budget Interpreter (C++/Conan), Windows Path Auditor (C++/Conan), and macOS LaunchAgent Catalog (Swift/Apple toolchain/Homebrew). Host discovery excludes the other two before generation while catalog discovery retains all three for readers. The 0.9 portfolio also includes a first-class multi-entrypoint fixture and the durable split service: separately generated frontend, read-only API, single-writer collector, and SQLite snapshot cache Components connected only by public contracts. Their specifications and verifier oracles define deterministic acceptance behavior. Catalog authority: samples/README.md and samples/_harness/durable-split-service/portfolio.json.</w:t>
      </w:r>
    </w:p>
    <w:p>
      <w:pPr>
        <w:pStyle w:val="Heading3"/>
      </w:pPr>
      <w:r>
        <w:rPr>
          <w:rFonts w:ascii="Calibri" w:hAnsi="Calibri" w:cs="Calibri"/>
          <w:b/>
          <w:i w:val="0"/>
          <w:color w:val="101317"/>
          <w:sz w:val="32"/>
        </w:rPr>
        <w:t>Verified wheel/Conan output</w:t>
      </w:r>
    </w:p>
    <w:p>
      <w:pPr>
        <w:spacing w:after="200" w:line="240" w:lineRule="auto"/>
      </w:pPr>
      <w:r>
        <w:rPr>
          <w:rFonts w:ascii="Calibri" w:hAnsi="Calibri" w:cs="Calibri"/>
          <w:b w:val="0"/>
          <w:i w:val="0"/>
          <w:color w:val="101317"/>
          <w:sz w:val="24"/>
        </w:rPr>
        <w:t>Greeting Card Starter and Exact Statistics Library select pip; Dependency Planner and the OS-specific native utilities select Conan. make samples-packages is the opt-in live proof that selected Standard samples can construct and independently verify native wheel/Conan bytes from their accepted artifacts without publication. Ordinary sample execution does not pay this package-construction cost.</w:t>
      </w:r>
    </w:p>
    <w:p>
      <w:pPr>
        <w:pStyle w:val="Heading3"/>
      </w:pPr>
      <w:r>
        <w:rPr>
          <w:rFonts w:ascii="Calibri" w:hAnsi="Calibri" w:cs="Calibri"/>
          <w:b/>
          <w:i w:val="0"/>
          <w:color w:val="101317"/>
          <w:sz w:val="32"/>
        </w:rPr>
        <w:t>OS-pinned applications and cross-platform fan-out</w:t>
      </w:r>
    </w:p>
    <w:p>
      <w:pPr>
        <w:spacing w:after="200" w:line="240" w:lineRule="auto"/>
      </w:pPr>
      <w:r>
        <w:rPr>
          <w:rFonts w:ascii="Calibri" w:hAnsi="Calibri" w:cs="Calibri"/>
          <w:b w:val="0"/>
          <w:i w:val="0"/>
          <w:color w:val="101317"/>
          <w:sz w:val="24"/>
        </w:rPr>
        <w:t>scripts/fanout_samples.py runs user-selected samples across user-owned SSH targets in parallel, selects platform Flavors, binds an exact Git revision or working tree, fails fast, and checkpoints successful target IDs under OBJ_DIR for repair-cycle resume. A completed resumed repair cycle clears its checkpoint and requires a clean rerun before the result can serve as release evidence. Configured fan-out is real mechanism. Configured inventory remains distinct from exact passing receipts; a host that rejects unattended SSH has not begun command serialization or execution.</w:t>
      </w:r>
    </w:p>
    <w:p>
      <w:pPr>
        <w:pStyle w:val="Heading2"/>
      </w:pPr>
      <w:r>
        <w:rPr>
          <w:rFonts w:ascii="Calibri" w:hAnsi="Calibri" w:cs="Calibri"/>
          <w:b/>
          <w:i w:val="0"/>
          <w:color w:val="101317"/>
          <w:sz w:val="36"/>
        </w:rPr>
        <w:t>Independent acceptance and provenance</w:t>
      </w:r>
    </w:p>
    <w:p>
      <w:pPr>
        <w:pStyle w:val="Heading3"/>
      </w:pPr>
      <w:r>
        <w:rPr>
          <w:rFonts w:ascii="Calibri" w:hAnsi="Calibri" w:cs="Calibri"/>
          <w:b/>
          <w:i w:val="0"/>
          <w:color w:val="101317"/>
          <w:sz w:val="32"/>
        </w:rPr>
        <w:t>Correctness ships with the artifact</w:t>
      </w:r>
    </w:p>
    <w:p>
      <w:pPr>
        <w:spacing w:after="200" w:line="240" w:lineRule="auto"/>
      </w:pPr>
      <w:r>
        <w:rPr>
          <w:rFonts w:ascii="Calibri" w:hAnsi="Calibri" w:cs="Calibri"/>
          <w:b w:val="0"/>
          <w:i w:val="0"/>
          <w:color w:val="101317"/>
          <w:sz w:val="24"/>
        </w:rPr>
        <w:t>The Standard core implements exact per-Component planning, bounded parallel generation, invalidation, accepted-source caching, restart custody, build authorization, artifact assembly, generated tests, independent acceptance, and project-admission seams. A multi-entrypoint Component now retains every deployment unit through one multi-output build, attributed TEST and EXECUTE evidence, package dispatch, independent acceptance, receipts, and CycloneDX evidence. Some reference samples still retain a content-pinned external driver; do not claim every sample already runs solely through the ordinary CLI.</w:t>
      </w:r>
    </w:p>
    <w:p>
      <w:pPr>
        <w:pStyle w:val="Heading3"/>
      </w:pPr>
      <w:r>
        <w:rPr>
          <w:rFonts w:ascii="Calibri" w:hAnsi="Calibri" w:cs="Calibri"/>
          <w:b/>
          <w:i w:val="0"/>
          <w:color w:val="101317"/>
          <w:sz w:val="32"/>
        </w:rPr>
        <w:t>Pre-build and post-build CycloneDX evidence</w:t>
      </w:r>
    </w:p>
    <w:p>
      <w:pPr>
        <w:spacing w:after="200" w:line="240" w:lineRule="auto"/>
      </w:pPr>
      <w:r>
        <w:rPr>
          <w:rFonts w:ascii="Calibri" w:hAnsi="Calibri" w:cs="Calibri"/>
          <w:b w:val="0"/>
          <w:i w:val="0"/>
          <w:color w:val="101317"/>
          <w:sz w:val="24"/>
        </w:rPr>
        <w:t>Pre-build and post-build CycloneDX evidence are supported. Authority: docs/architecture/sbom-and-dependency-graph.md. A polished overview cannot grant build, execution, publication, or release authority.</w:t>
      </w:r>
    </w:p>
    <w:p>
      <w:pPr>
        <w:pStyle w:val="Heading2"/>
      </w:pPr>
      <w:r>
        <w:rPr>
          <w:rFonts w:ascii="Calibri" w:hAnsi="Calibri" w:cs="Calibri"/>
          <w:b/>
          <w:i w:val="0"/>
          <w:color w:val="101317"/>
          <w:sz w:val="36"/>
        </w:rPr>
        <w:t>Process-tree ownership and release-line decisions</w:t>
      </w:r>
    </w:p>
    <w:p>
      <w:pPr>
        <w:pStyle w:val="Heading3"/>
      </w:pPr>
      <w:r>
        <w:rPr>
          <w:rFonts w:ascii="Calibri" w:hAnsi="Calibri" w:cs="Calibri"/>
          <w:b/>
          <w:i w:val="0"/>
          <w:color w:val="101317"/>
          <w:sz w:val="32"/>
        </w:rPr>
        <w:t>Win32 Job Objects at timeout spawn sites</w:t>
      </w:r>
    </w:p>
    <w:p>
      <w:pPr>
        <w:spacing w:after="200" w:line="240" w:lineRule="auto"/>
      </w:pPr>
      <w:r>
        <w:rPr>
          <w:rFonts w:ascii="Calibri" w:hAnsi="Calibri" w:cs="Calibri"/>
          <w:b w:val="0"/>
          <w:i w:val="0"/>
          <w:color w:val="101317"/>
          <w:sz w:val="24"/>
        </w:rPr>
        <w:t>Remaining in-package timeout spawn sites bind create_process_tree_ownership so late grandchildren die with the parent. Standalone worker scripts stay stdlib-only and keep validated taskkill. Authority: src/literate_ai/adapters/_processes.py callers; source-notes.md 0.9.0 edition.</w:t>
      </w:r>
    </w:p>
    <w:p>
      <w:pPr>
        <w:pStyle w:val="Heading3"/>
      </w:pPr>
      <w:r>
        <w:rPr>
          <w:rFonts w:ascii="Calibri" w:hAnsi="Calibri" w:cs="Calibri"/>
          <w:b/>
          <w:i w:val="0"/>
          <w:color w:val="101317"/>
          <w:sz w:val="32"/>
        </w:rPr>
        <w:t>Who decides patch content</w:t>
      </w:r>
    </w:p>
    <w:p>
      <w:pPr>
        <w:spacing w:after="200" w:line="240" w:lineRule="auto"/>
      </w:pPr>
      <w:r>
        <w:rPr>
          <w:rFonts w:ascii="Calibri" w:hAnsi="Calibri" w:cs="Calibri"/>
          <w:b w:val="0"/>
          <w:i w:val="0"/>
          <w:color w:val="101317"/>
          <w:sz w:val="24"/>
        </w:rPr>
        <w:t>Humans own when the next minor or major is cut. Agents own patch content on the current release/&lt;major&gt;.&lt;minor&gt;.x line. Each published changelog section links to that version's README.md at the matching git tag. Authority: skills/agent/release-project/SKILL.md and docs/architecture/project-releases.md.</w:t>
      </w:r>
    </w:p>
    <w:p>
      <w:pPr>
        <w:pStyle w:val="Heading1"/>
      </w:pPr>
      <w:r>
        <w:rPr>
          <w:rFonts w:ascii="Calibri" w:hAnsi="Calibri" w:cs="Calibri"/>
          <w:b/>
          <w:i w:val="0"/>
          <w:color w:val="101317"/>
          <w:sz w:val="40"/>
        </w:rPr>
        <w:t>From Components to applications</w:t>
      </w:r>
    </w:p>
    <w:p>
      <w:pPr>
        <w:pStyle w:val="Heading2"/>
      </w:pPr>
      <w:r>
        <w:rPr>
          <w:rFonts w:ascii="Calibri" w:hAnsi="Calibri" w:cs="Calibri"/>
          <w:b/>
          <w:i w:val="0"/>
          <w:color w:val="101317"/>
          <w:sz w:val="36"/>
        </w:rPr>
        <w:t>Applications as arbitrary Component DAGs</w:t>
      </w:r>
    </w:p>
    <w:p>
      <w:pPr>
        <w:spacing w:after="200" w:line="240" w:lineRule="auto"/>
      </w:pPr>
      <w:r>
        <w:rPr>
          <w:rFonts w:ascii="Calibri" w:hAnsi="Calibri" w:cs="Calibri"/>
          <w:b w:val="0"/>
          <w:i w:val="0"/>
          <w:color w:val="101317"/>
          <w:sz w:val="24"/>
        </w:rPr>
        <w:t>Component plans support arbitrary acyclic dependency graphs, exact public-interface bindings, provider-before-consumer layers, deterministic result ordering, and bounded concurrency among independent nodes. The durable split portfolio proves the model with two Standard roots: collector and cache own collection; cache, read-only API, and browser frontend own serving. The cache provider owns schema and migrations, the collector alone invokes upstream, and no private source or credentials flatten across an edge.</w:t>
      </w:r>
    </w:p>
    <w:p>
      <w:pPr>
        <w:pStyle w:val="Heading2"/>
      </w:pPr>
      <w:r>
        <w:rPr>
          <w:rFonts w:ascii="Calibri" w:hAnsi="Calibri" w:cs="Calibri"/>
          <w:b/>
          <w:i w:val="0"/>
          <w:color w:val="101317"/>
          <w:sz w:val="36"/>
        </w:rPr>
        <w:t>One application intent, many products and runtimes</w:t>
      </w:r>
    </w:p>
    <w:p>
      <w:pPr>
        <w:spacing w:after="200" w:line="240" w:lineRule="auto"/>
      </w:pPr>
      <w:r>
        <w:rPr>
          <w:rFonts w:ascii="Calibri" w:hAnsi="Calibri" w:cs="Calibri"/>
          <w:b w:val="0"/>
          <w:i w:val="0"/>
          <w:color w:val="101317"/>
          <w:sz w:val="24"/>
        </w:rPr>
        <w:t>Specification, Flavors, Skills, Workflow, and Routing resolve into an exact, inspectable plan before model execution. One application intent can serve many products and runtimes, including packaging and documentation ecosystem axes, because those axes are Flavor selections rather than forks of the specification.</w:t>
      </w:r>
    </w:p>
    <w:p>
      <w:pPr>
        <w:pStyle w:val="Heading2"/>
      </w:pPr>
      <w:r>
        <w:rPr>
          <w:rFonts w:ascii="Calibri" w:hAnsi="Calibri" w:cs="Calibri"/>
          <w:b/>
          <w:i w:val="0"/>
          <w:color w:val="101317"/>
          <w:sz w:val="36"/>
        </w:rPr>
        <w:t>Packaging and documentation ecosystem axes</w:t>
      </w:r>
    </w:p>
    <w:p>
      <w:pPr>
        <w:spacing w:after="200" w:line="240" w:lineRule="auto"/>
      </w:pPr>
      <w:r>
        <w:rPr>
          <w:rFonts w:ascii="Calibri" w:hAnsi="Calibri" w:cs="Calibri"/>
          <w:b w:val="0"/>
          <w:i w:val="0"/>
          <w:color w:val="101317"/>
          <w:sz w:val="24"/>
        </w:rPr>
        <w:t>The documentation.ecosystem Flavor axis has google-workspace and microsoft-365 choices. The first targets Google Slides and Google Docs; the second targets PowerPoint and Word with SharePoint or OneDrive collaboration when authorized. These choices govern artifact format and collaboration surface, not product claims, approval state, application generation, build execution, or release authority. This overview Component realizes literate-ai.document-pair for google-workspace.</w:t>
      </w:r>
    </w:p>
    <w:p>
      <w:pPr>
        <w:pStyle w:val="Heading1"/>
      </w:pPr>
      <w:r>
        <w:rPr>
          <w:rFonts w:ascii="Calibri" w:hAnsi="Calibri" w:cs="Calibri"/>
          <w:b/>
          <w:i w:val="0"/>
          <w:color w:val="101317"/>
          <w:sz w:val="40"/>
        </w:rPr>
        <w:t>Operating the system</w:t>
      </w:r>
    </w:p>
    <w:p>
      <w:pPr>
        <w:pStyle w:val="Heading2"/>
      </w:pPr>
      <w:r>
        <w:rPr>
          <w:rFonts w:ascii="Calibri" w:hAnsi="Calibri" w:cs="Calibri"/>
          <w:b/>
          <w:i w:val="0"/>
          <w:color w:val="101317"/>
          <w:sz w:val="36"/>
        </w:rPr>
        <w:t>`litai`'s separation of concerns</w:t>
      </w:r>
    </w:p>
    <w:p>
      <w:pPr>
        <w:spacing w:after="200" w:line="240" w:lineRule="auto"/>
      </w:pPr>
      <w:r>
        <w:rPr>
          <w:rFonts w:ascii="Calibri" w:hAnsi="Calibri" w:cs="Calibri"/>
          <w:b w:val="0"/>
          <w:i w:val="0"/>
          <w:color w:val="101317"/>
          <w:sz w:val="24"/>
        </w:rPr>
        <w:t>Current litai help exposes help, version, status, doctor, orchestrate, onboard, design, release, package, flavor, perf, matrix, config, work, video, document, worker, init, cache, skills, prompt, catalog, graph, render, build, test, run, verify, update, reparent, learn, lock, component, clean, really-clean, project, plan, generate, rebuild, profile, and spec. Diagnostic and deterministic connector verbs do not authorize a release. Native build and package managers remain delegated execution engines, never specification authority. Parser authority: src/literate_ai/cli/source_to_specification.py.</w:t>
      </w:r>
    </w:p>
    <w:p>
      <w:pPr>
        <w:pStyle w:val="Heading3"/>
      </w:pPr>
      <w:r>
        <w:rPr>
          <w:rFonts w:ascii="Calibri" w:hAnsi="Calibri" w:cs="Calibri"/>
          <w:b/>
          <w:i w:val="0"/>
          <w:color w:val="101317"/>
          <w:sz w:val="32"/>
        </w:rPr>
        <w:t>Package planning</w:t>
      </w:r>
    </w:p>
    <w:p>
      <w:pPr>
        <w:spacing w:after="200" w:line="240" w:lineRule="auto"/>
      </w:pPr>
      <w:r>
        <w:rPr>
          <w:rFonts w:ascii="Calibri" w:hAnsi="Calibri" w:cs="Calibri"/>
          <w:b w:val="0"/>
          <w:i w:val="0"/>
          <w:color w:val="101317"/>
          <w:sz w:val="24"/>
        </w:rPr>
        <w:t>litai package plan is read-only. It reports compatible native formats from one accepted closure. It does not construct bytes and does not publish.</w:t>
      </w:r>
    </w:p>
    <w:p>
      <w:pPr>
        <w:pStyle w:val="Heading3"/>
      </w:pPr>
      <w:r>
        <w:rPr>
          <w:rFonts w:ascii="Calibri" w:hAnsi="Calibri" w:cs="Calibri"/>
          <w:b/>
          <w:i w:val="0"/>
          <w:color w:val="101317"/>
          <w:sz w:val="32"/>
        </w:rPr>
        <w:t>Native construction</w:t>
      </w:r>
    </w:p>
    <w:p>
      <w:pPr>
        <w:spacing w:after="200" w:line="240" w:lineRule="auto"/>
      </w:pPr>
      <w:r>
        <w:rPr>
          <w:rFonts w:ascii="Calibri" w:hAnsi="Calibri" w:cs="Calibri"/>
          <w:b w:val="0"/>
          <w:i w:val="0"/>
          <w:color w:val="101317"/>
          <w:sz w:val="24"/>
        </w:rPr>
        <w:t>litai package build requires explicit host-execution acknowledgement, writes content-addressed package batches only beneath OBJ_DIR, embeds component.md plus the resolved CycloneDX SBOM, and grants no external publication authority.</w:t>
      </w:r>
    </w:p>
    <w:p>
      <w:pPr>
        <w:pStyle w:val="Heading3"/>
      </w:pPr>
      <w:r>
        <w:rPr>
          <w:rFonts w:ascii="Calibri" w:hAnsi="Calibri" w:cs="Calibri"/>
          <w:b/>
          <w:i w:val="0"/>
          <w:color w:val="101317"/>
          <w:sz w:val="32"/>
        </w:rPr>
        <w:t>Independent verification</w:t>
      </w:r>
    </w:p>
    <w:p>
      <w:pPr>
        <w:spacing w:after="200" w:line="240" w:lineRule="auto"/>
      </w:pPr>
      <w:r>
        <w:rPr>
          <w:rFonts w:ascii="Calibri" w:hAnsi="Calibri" w:cs="Calibri"/>
          <w:b w:val="0"/>
          <w:i w:val="0"/>
          <w:color w:val="101317"/>
          <w:sz w:val="24"/>
        </w:rPr>
        <w:t>litai package verify reopens retained inputs and native bytes. Conan is restored into a fresh isolated cache. None of plan, build, or verify publishes.</w:t>
      </w:r>
    </w:p>
    <w:p>
      <w:pPr>
        <w:spacing w:after="200" w:line="240" w:lineRule="auto"/>
      </w:pPr>
      <w:r>
        <w:rPr>
          <w:rFonts w:ascii="Calibri" w:hAnsi="Calibri" w:cs="Calibri"/>
          <w:b w:val="0"/>
          <w:i w:val="0"/>
          <w:color w:val="101317"/>
          <w:sz w:val="24"/>
        </w:rPr>
        <w:t>Host installation is a separate authority. make install selects one strict CycloneDX 1.7 prerequisite SBOM by OS, CPU, and accelerator coordinate, verifies APT, Homebrew, or WinGet records, and asks once before installing missing native packages. make uninstall removes only manifest-owned Literate AI runtime paths and leaves native dependencies plus durable user configuration and state intact. Authority: docs/decisions/0032-tuple-specific-native-install-sboms.md and docs/user/installation.md.</w:t>
      </w:r>
    </w:p>
    <w:p>
      <w:pPr>
        <w:pStyle w:val="Heading3"/>
      </w:pPr>
      <w:r>
        <w:rPr>
          <w:rFonts w:ascii="Calibri" w:hAnsi="Calibri" w:cs="Calibri"/>
          <w:b/>
          <w:i w:val="0"/>
          <w:color w:val="101317"/>
          <w:sz w:val="32"/>
        </w:rPr>
        <w:t>Release control</w:t>
      </w:r>
    </w:p>
    <w:p>
      <w:pPr>
        <w:spacing w:after="200" w:line="240" w:lineRule="auto"/>
      </w:pPr>
      <w:r>
        <w:rPr>
          <w:rFonts w:ascii="Calibri" w:hAnsi="Calibri" w:cs="Calibri"/>
          <w:b w:val="0"/>
          <w:i w:val="0"/>
          <w:color w:val="101317"/>
          <w:sz w:val="24"/>
        </w:rPr>
        <w:t>litai release plan, prepare, check, and publish are four deliberately separate commands. Plan is read-only. Prepare writes declared version fields and may create the release line; it does not commit, tag, or push. Check runs the exact policy gate on that line. Publish requires --authorize-external-write. Never retag a published distribution tag. Authority: docs/architecture/project-releases.md.</w:t>
      </w:r>
    </w:p>
    <w:p>
      <w:pPr>
        <w:pStyle w:val="Heading2"/>
      </w:pPr>
      <w:r>
        <w:rPr>
          <w:rFonts w:ascii="Calibri" w:hAnsi="Calibri" w:cs="Calibri"/>
          <w:b/>
          <w:i w:val="0"/>
          <w:color w:val="101317"/>
          <w:sz w:val="36"/>
        </w:rPr>
        <w:t>One authority connecting roadmap to operations</w:t>
      </w:r>
    </w:p>
    <w:p>
      <w:pPr>
        <w:spacing w:after="200" w:line="240" w:lineRule="auto"/>
      </w:pPr>
      <w:r>
        <w:rPr>
          <w:rFonts w:ascii="Calibri" w:hAnsi="Calibri" w:cs="Calibri"/>
          <w:b w:val="0"/>
          <w:i w:val="0"/>
          <w:color w:val="101317"/>
          <w:sz w:val="24"/>
        </w:rPr>
        <w:t>Work is recorded in docs/roadmap/active-work.md before implementation. Conversation history is not project authority. Content-identified objects let roadmap, operations, and evidence views reference the same identities without a synchronization process.</w:t>
      </w:r>
    </w:p>
    <w:p>
      <w:pPr>
        <w:spacing w:after="200" w:line="240" w:lineRule="auto"/>
      </w:pPr>
      <w:r>
        <w:rPr>
          <w:rFonts w:ascii="Calibri" w:hAnsi="Calibri" w:cs="Calibri"/>
          <w:b w:val="0"/>
          <w:i w:val="0"/>
          <w:color w:val="101317"/>
          <w:sz w:val="24"/>
        </w:rPr>
        <w:t>Deterministic operations belong in Python services rather than repeated model work. One executable skill catalog owns taxonomy and inheritance, while one injectable platform policy resolves durable private configuration to XDG-style literate-ai paths on Linux/macOS or Roaming AppData on Windows. litai config migrate performs the explicit dry-run-first 0.8.x transition. Authority: ADRs 0030 and 0031.</w:t>
      </w:r>
    </w:p>
    <w:p>
      <w:pPr>
        <w:pStyle w:val="Heading2"/>
      </w:pPr>
      <w:r>
        <w:rPr>
          <w:rFonts w:ascii="Calibri" w:hAnsi="Calibri" w:cs="Calibri"/>
          <w:b/>
          <w:i w:val="0"/>
          <w:color w:val="101317"/>
          <w:sz w:val="36"/>
        </w:rPr>
        <w:t>Existing systems as starting knowledge</w:t>
      </w:r>
    </w:p>
    <w:p>
      <w:pPr>
        <w:spacing w:after="200" w:line="240" w:lineRule="auto"/>
      </w:pPr>
      <w:r>
        <w:rPr>
          <w:rFonts w:ascii="Calibri" w:hAnsi="Calibri" w:cs="Calibri"/>
          <w:b w:val="0"/>
          <w:i w:val="0"/>
          <w:color w:val="101317"/>
          <w:sz w:val="24"/>
        </w:rPr>
        <w:t>Source-to-specification can index an inert mirror, draft reviewable Component and Flavor material, and journal model calls without executing the mirrored source. Draft extraction is available. Effective authority remains source-baseline until trusted, current qualification evidence exists. Do not claim live repository acquisition as an ordinary generation behavior. Authority: docs/architecture/source-promotion.md.</w:t>
      </w:r>
    </w:p>
    <w:p>
      <w:pPr>
        <w:pStyle w:val="Heading1"/>
      </w:pPr>
      <w:r>
        <w:rPr>
          <w:rFonts w:ascii="Calibri" w:hAnsi="Calibri" w:cs="Calibri"/>
          <w:b/>
          <w:i w:val="0"/>
          <w:color w:val="101317"/>
          <w:sz w:val="40"/>
        </w:rPr>
        <w:t>Release engineering: proving the system knows when it's valid</w:t>
      </w:r>
    </w:p>
    <w:p>
      <w:pPr>
        <w:pStyle w:val="Heading2"/>
      </w:pPr>
      <w:r>
        <w:rPr>
          <w:rFonts w:ascii="Calibri" w:hAnsi="Calibri" w:cs="Calibri"/>
          <w:b/>
          <w:i w:val="0"/>
          <w:color w:val="101317"/>
          <w:sz w:val="36"/>
        </w:rPr>
        <w:t>Release Policy</w:t>
      </w:r>
    </w:p>
    <w:p>
      <w:pPr>
        <w:pStyle w:val="Heading3"/>
      </w:pPr>
      <w:r>
        <w:rPr>
          <w:rFonts w:ascii="Calibri" w:hAnsi="Calibri" w:cs="Calibri"/>
          <w:b/>
          <w:i w:val="0"/>
          <w:color w:val="101317"/>
          <w:sz w:val="32"/>
        </w:rPr>
        <w:t>Writable main and exact-main release candidates</w:t>
      </w:r>
    </w:p>
    <w:p>
      <w:pPr>
        <w:spacing w:after="200" w:line="240" w:lineRule="auto"/>
      </w:pPr>
      <w:r>
        <w:rPr>
          <w:rFonts w:ascii="Calibri" w:hAnsi="Calibri" w:cs="Calibri"/>
          <w:b w:val="0"/>
          <w:i w:val="0"/>
          <w:color w:val="101317"/>
          <w:sz w:val="24"/>
        </w:rPr>
        <w:t>The default branch remains writable for ordinary new work in both Free and Pre-release states. Pre-release names one canonical major.minor target. A release candidate tag is permitted only from the exact main revision that passed the declared gate; it is not a tag placed on an approximate or release-line commit.</w:t>
      </w:r>
    </w:p>
    <w:p>
      <w:pPr>
        <w:pStyle w:val="Heading3"/>
      </w:pPr>
      <w:r>
        <w:rPr>
          <w:rFonts w:ascii="Calibri" w:hAnsi="Calibri" w:cs="Calibri"/>
          <w:b/>
          <w:i w:val="0"/>
          <w:color w:val="101317"/>
          <w:sz w:val="32"/>
        </w:rPr>
        <w:t>Release-line lockdown and authority</w:t>
      </w:r>
    </w:p>
    <w:p>
      <w:pPr>
        <w:spacing w:after="200" w:line="240" w:lineRule="auto"/>
      </w:pPr>
      <w:r>
        <w:rPr>
          <w:rFonts w:ascii="Calibri" w:hAnsi="Calibri" w:cs="Calibri"/>
          <w:b w:val="0"/>
          <w:i w:val="0"/>
          <w:color w:val="101317"/>
          <w:sz w:val="24"/>
        </w:rPr>
        <w:t>Cutting release/&lt;major&gt;.&lt;minor&gt;.x locks that release line while main continues to accept ordinary work. Only exact login bullets under README.md's Release Engineers section may merge release-line pull requests or create and publish a major or minor release. Patch authority is project configuration: strict reserves patch operations to Release Engineers; loose permits a configured writer to use reason-bearing break-glass only for a commit already landed on main. Break-glass grants no RC or major/minor authority.</w:t>
      </w:r>
    </w:p>
    <w:p>
      <w:pPr>
        <w:spacing w:after="200" w:line="240" w:lineRule="auto"/>
      </w:pPr>
      <w:r>
        <w:rPr>
          <w:rFonts w:ascii="Calibri" w:hAnsi="Calibri" w:cs="Calibri"/>
          <w:b w:val="0"/>
          <w:i w:val="0"/>
          <w:color w:val="101317"/>
          <w:sz w:val="24"/>
        </w:rPr>
        <w:t>LitAI release commands enforce state, actor, branch, and revision constraints. Forge branch protection and required-review settings are distinct controls that should mirror this policy. This overview does not claim those settings are live.</w:t>
      </w:r>
    </w:p>
    <w:p>
      <w:pPr>
        <w:pStyle w:val="Heading3"/>
      </w:pPr>
      <w:r>
        <w:rPr>
          <w:rFonts w:ascii="Calibri" w:hAnsi="Calibri" w:cs="Calibri"/>
          <w:b/>
          <w:i w:val="0"/>
          <w:color w:val="101317"/>
          <w:sz w:val="32"/>
        </w:rPr>
        <w:t>Pull-request classification and safe branch collection</w:t>
      </w:r>
    </w:p>
    <w:p>
      <w:pPr>
        <w:spacing w:after="200" w:line="240" w:lineRule="auto"/>
      </w:pPr>
      <w:r>
        <w:rPr>
          <w:rFonts w:ascii="Calibri" w:hAnsi="Calibri" w:cs="Calibri"/>
          <w:b w:val="0"/>
          <w:i w:val="0"/>
          <w:color w:val="101317"/>
          <w:sz w:val="24"/>
        </w:rPr>
        <w:t>Every pull request carries exactly one Literate-AI-Release: major.minor line for the active target, or Literate-AI-Release: none. Missing, duplicate, malformed, stale, and other-target declarations remain unknown rather than inferred. Terminal topic branches receive exact-head merged or reason-bearing dead markers. Peer-work garbage collection inspects open pull requests and all worktrees, rejects stale markers, protected or unmerged branches, and dirty state, plans by default, and requires explicit apply and delete authorization.</w:t>
      </w:r>
    </w:p>
    <w:p>
      <w:pPr>
        <w:pStyle w:val="Heading3"/>
      </w:pPr>
      <w:r>
        <w:rPr>
          <w:rFonts w:ascii="Calibri" w:hAnsi="Calibri" w:cs="Calibri"/>
          <w:b/>
          <w:i w:val="0"/>
          <w:color w:val="101317"/>
          <w:sz w:val="32"/>
        </w:rPr>
        <w:t>Continuous contribution disposition and document-pair evidence</w:t>
      </w:r>
    </w:p>
    <w:p>
      <w:pPr>
        <w:spacing w:after="200" w:line="240" w:lineRule="auto"/>
      </w:pPr>
      <w:r>
        <w:rPr>
          <w:rFonts w:ascii="Calibri" w:hAnsi="Calibri" w:cs="Calibri"/>
          <w:b w:val="0"/>
          <w:i w:val="0"/>
          <w:color w:val="101317"/>
          <w:sz w:val="24"/>
        </w:rPr>
        <w:t>Every major or minor cut runs a Python-owned contribution sweep over open issues, reviews, unmerged branches, and attached worktrees. The operator decides relevance; the sweep fails closed on unclassified work. Tracker dispositions and exact-head branch-lifecycle markers survive into the next cycle. Major and minor cuts also regenerate, independently verify, preflight, publish, and export back the terminal document pair using one explicit active gcloud account. Authority: docs/decisions/0034-continuous-evidence-bound-release-closure.md. This edition does not claim that tag v1.3.0 is already published.</w:t>
      </w:r>
    </w:p>
    <w:p>
      <w:pPr>
        <w:pStyle w:val="Heading2"/>
      </w:pPr>
      <w:r>
        <w:rPr>
          <w:rFonts w:ascii="Calibri" w:hAnsi="Calibri" w:cs="Calibri"/>
          <w:b/>
          <w:i w:val="0"/>
          <w:color w:val="101317"/>
          <w:sz w:val="36"/>
        </w:rPr>
        <w:t>Gates that remember where they stopped</w:t>
      </w:r>
    </w:p>
    <w:p>
      <w:pPr>
        <w:pStyle w:val="Heading3"/>
      </w:pPr>
      <w:r>
        <w:rPr>
          <w:rFonts w:ascii="Calibri" w:hAnsi="Calibri" w:cs="Calibri"/>
          <w:b/>
          <w:i w:val="0"/>
          <w:color w:val="101317"/>
          <w:sz w:val="32"/>
        </w:rPr>
        <w:t>Fail-fast, checkpointed, content-fingerprinted resume</w:t>
      </w:r>
    </w:p>
    <w:p>
      <w:pPr>
        <w:spacing w:after="200" w:line="240" w:lineRule="auto"/>
      </w:pPr>
      <w:r>
        <w:rPr>
          <w:rFonts w:ascii="Calibri" w:hAnsi="Calibri" w:cs="Calibri"/>
          <w:b w:val="0"/>
          <w:i w:val="0"/>
          <w:color w:val="101317"/>
          <w:sz w:val="24"/>
        </w:rPr>
        <w:t>A checkpointed test or gate run records only tests or gates that actually executed and passed. A run interrupted partway resumes from that exact point on the next invocation rather than restarting. python-check's checkpoint is keyed by a content hash of each test module's own bytes, so it is always safe to trust a resume. The coarser release-check gate-level checkpoint has no such content fingerprint — it tracks only the ordered gate-name list — so it is reset explicitly before re-validating a checkout against a different commit than it last ran against. Authority: scripts/run_checkpointed_unittests.py, src/literate_ai/test_checkpointing.py, and docs/user/troubleshooting.md.</w:t>
      </w:r>
    </w:p>
    <w:p>
      <w:pPr>
        <w:spacing w:after="200" w:line="240" w:lineRule="auto"/>
      </w:pPr>
      <w:r>
        <w:rPr>
          <w:rFonts w:ascii="Calibri" w:hAnsi="Calibri" w:cs="Calibri"/>
          <w:b w:val="0"/>
          <w:i w:val="0"/>
          <w:color w:val="101317"/>
          <w:sz w:val="24"/>
        </w:rPr>
        <w:t>The Makefile RELEASE_GATES list is fifteen names: repository-layout-check, public-export-check, python-check, lint, format-check, openspec-check, documentation-check, driver-review, skills-check, installed-e2e, wheel-check, install-check, installed-project-e2e, samples, test-receipt-current. 1.2 added public-export-check, so an organization-internal reference in tracked files fails the release gate instead of surfacing only at export. There is no codegraph-ready gate.</w:t>
      </w:r>
    </w:p>
    <w:p>
      <w:pPr>
        <w:pStyle w:val="Heading3"/>
      </w:pPr>
      <w:r>
        <w:rPr>
          <w:rFonts w:ascii="Calibri" w:hAnsi="Calibri" w:cs="Calibri"/>
          <w:b/>
          <w:i w:val="0"/>
          <w:color w:val="101317"/>
          <w:sz w:val="32"/>
        </w:rPr>
        <w:t>Why a full clean pass is still required before evidence counts</w:t>
      </w:r>
    </w:p>
    <w:p>
      <w:pPr>
        <w:spacing w:after="200" w:line="240" w:lineRule="auto"/>
      </w:pPr>
      <w:r>
        <w:rPr>
          <w:rFonts w:ascii="Calibri" w:hAnsi="Calibri" w:cs="Calibri"/>
          <w:b w:val="0"/>
          <w:i w:val="0"/>
          <w:color w:val="101317"/>
          <w:sz w:val="24"/>
        </w:rPr>
        <w:t>A checkpointed run that resumed any prior state deliberately reports a distinct exit status from a genuine, from-scratch clean pass, and asks for one more full run before its result counts as release evidence. A resumed pass is never silently promoted to the same evidentiary weight as a full one.</w:t>
      </w:r>
    </w:p>
    <w:p>
      <w:pPr>
        <w:pStyle w:val="Heading2"/>
      </w:pPr>
      <w:r>
        <w:rPr>
          <w:rFonts w:ascii="Calibri" w:hAnsi="Calibri" w:cs="Calibri"/>
          <w:b/>
          <w:i w:val="0"/>
          <w:color w:val="101317"/>
          <w:sz w:val="36"/>
        </w:rPr>
        <w:t>One gate, your choice of target</w:t>
      </w:r>
    </w:p>
    <w:p>
      <w:pPr>
        <w:spacing w:after="200" w:line="240" w:lineRule="auto"/>
      </w:pPr>
      <w:r>
        <w:rPr>
          <w:rFonts w:ascii="Calibri" w:hAnsi="Calibri" w:cs="Calibri"/>
          <w:b w:val="0"/>
          <w:i w:val="0"/>
          <w:color w:val="101317"/>
          <w:sz w:val="24"/>
        </w:rPr>
        <w:t>litai release check --target local|github|gitlab accepts all three target names, but GitLab is recognized and fail-closed as unsupported rather than dispatched. Local and GitHub execution use the same declared gate command (make release-check). A GitHub Actions --target github pass is not a substitute claim that local fan-out ran. v0.7.1 was published from release/0.7.x via --target github. In 1.2, release operations require an explicit SemVer policy, and when the policy declares qualification the default is a tiered target: each platform-by-action cell is covered by the leftmost tier that can run it — the host running the coding CLI, then one workers.json worker per remaining platform, then CI — and litai release qualify records exact-HEAD coverage. Authority: docs/architecture/project-releases.md.</w:t>
      </w:r>
    </w:p>
    <w:p>
      <w:pPr>
        <w:pStyle w:val="Heading3"/>
      </w:pPr>
      <w:r>
        <w:rPr>
          <w:rFonts w:ascii="Calibri" w:hAnsi="Calibri" w:cs="Calibri"/>
          <w:b/>
          <w:i w:val="0"/>
          <w:color w:val="101317"/>
          <w:sz w:val="32"/>
        </w:rPr>
        <w:t>A private worker fleet</w:t>
      </w:r>
    </w:p>
    <w:p>
      <w:pPr>
        <w:spacing w:after="200" w:line="240" w:lineRule="auto"/>
      </w:pPr>
      <w:r>
        <w:rPr>
          <w:rFonts w:ascii="Calibri" w:hAnsi="Calibri" w:cs="Calibri"/>
          <w:b w:val="0"/>
          <w:i w:val="0"/>
          <w:color w:val="101317"/>
          <w:sz w:val="24"/>
        </w:rPr>
        <w:t>When a fleet is configured, --target local fans out in parallel across eligible workers, requires every dispatched worker to pass, and names the first failing worker deterministically. SSH-dispatched remote commands run under a forced login-and-interactive shell (bash -lic), so a worker's real toolchain — reached only through its own shell startup files — is reliably visible without any worker-side configuration change. Authority: src/literate_ai/adapters/ssh_transport.py. This overview does not claim that 0.7.0 or 0.7.1 ran that fleet.</w:t>
      </w:r>
    </w:p>
    <w:p>
      <w:pPr>
        <w:pStyle w:val="Heading3"/>
      </w:pPr>
      <w:r>
        <w:rPr>
          <w:rFonts w:ascii="Calibri" w:hAnsi="Calibri" w:cs="Calibri"/>
          <w:b/>
          <w:i w:val="0"/>
          <w:color w:val="101317"/>
          <w:sz w:val="32"/>
        </w:rPr>
        <w:t>GitHub Actions</w:t>
      </w:r>
    </w:p>
    <w:p>
      <w:pPr>
        <w:spacing w:after="200" w:line="240" w:lineRule="auto"/>
      </w:pPr>
      <w:r>
        <w:rPr>
          <w:rFonts w:ascii="Calibri" w:hAnsi="Calibri" w:cs="Calibri"/>
          <w:b w:val="0"/>
          <w:i w:val="0"/>
          <w:color w:val="101317"/>
          <w:sz w:val="24"/>
        </w:rPr>
        <w:t>--target github polls GitHub Actions for the checked revision's run. The gate definition itself never changes for supported targets; only where it runs changes.</w:t>
      </w:r>
    </w:p>
    <w:p>
      <w:pPr>
        <w:pStyle w:val="Heading3"/>
      </w:pPr>
      <w:r>
        <w:rPr>
          <w:rFonts w:ascii="Calibri" w:hAnsi="Calibri" w:cs="Calibri"/>
          <w:b/>
          <w:i w:val="0"/>
          <w:color w:val="101317"/>
          <w:sz w:val="32"/>
        </w:rPr>
        <w:t>Why the same gate runs unmodified either way</w:t>
      </w:r>
    </w:p>
    <w:p>
      <w:pPr>
        <w:spacing w:after="200" w:line="240" w:lineRule="auto"/>
      </w:pPr>
      <w:r>
        <w:rPr>
          <w:rFonts w:ascii="Calibri" w:hAnsi="Calibri" w:cs="Calibri"/>
          <w:b w:val="0"/>
          <w:i w:val="0"/>
          <w:color w:val="101317"/>
          <w:sz w:val="24"/>
        </w:rPr>
        <w:t>When no worker fleet is configured, legacy-local executes the gate on the invoking VM and records absent fan-out and provider paths as explicit skipped or unavailable nodes, with authoritative: false, rather than failing the release. When the policy names default_branch, prepare creates release/&lt;major&gt;.&lt;minor&gt;.x if the plan records create: true. check and publish refuse that default branch and any per-patch name such as release/0.7.0. Do not wrap a raw git branch or git checkout in place of prepare. Authority: src/literate_ai/project_releases.py.</w:t>
      </w:r>
    </w:p>
    <w:p>
      <w:pPr>
        <w:pStyle w:val="Heading2"/>
      </w:pPr>
      <w:r>
        <w:rPr>
          <w:rFonts w:ascii="Calibri" w:hAnsi="Calibri" w:cs="Calibri"/>
          <w:b/>
          <w:i w:val="0"/>
          <w:color w:val="101317"/>
          <w:sz w:val="36"/>
        </w:rPr>
        <w:t>Timed evidence: `litai perf`</w:t>
      </w:r>
    </w:p>
    <w:p>
      <w:pPr>
        <w:pStyle w:val="Heading3"/>
      </w:pPr>
      <w:r>
        <w:rPr>
          <w:rFonts w:ascii="Calibri" w:hAnsi="Calibri" w:cs="Calibri"/>
          <w:b/>
          <w:i w:val="0"/>
          <w:color w:val="101317"/>
          <w:sz w:val="32"/>
        </w:rPr>
        <w:t>What gets recorded, and where</w:t>
      </w:r>
    </w:p>
    <w:p>
      <w:pPr>
        <w:spacing w:after="200" w:line="240" w:lineRule="auto"/>
      </w:pPr>
      <w:r>
        <w:rPr>
          <w:rFonts w:ascii="Calibri" w:hAnsi="Calibri" w:cs="Calibri"/>
          <w:b w:val="0"/>
          <w:i w:val="0"/>
          <w:color w:val="101317"/>
          <w:sz w:val="24"/>
        </w:rPr>
        <w:t>Every top-level litai command, and every worker dispatched during a --target local fan-out, records one structured JSON-Lines performance span: stage, target kind and id, coding CLI, model, start/end timestamps, duration, and pass/fail outcome. This telemetry is diagnostic, never authority — a read-only or missing build root never fails the command it observes. Authority: src/literate_ai/perf.py and src/literate_ai/cli/perf.py.</w:t>
      </w:r>
    </w:p>
    <w:p>
      <w:pPr>
        <w:pStyle w:val="Heading3"/>
      </w:pPr>
      <w:r>
        <w:rPr>
          <w:rFonts w:ascii="Calibri" w:hAnsi="Calibri" w:cs="Calibri"/>
          <w:b/>
          <w:i w:val="0"/>
          <w:color w:val="101317"/>
          <w:sz w:val="32"/>
        </w:rPr>
        <w:t>Reading fleet-dispatch cost from real recorded spans</w:t>
      </w:r>
    </w:p>
    <w:p>
      <w:pPr>
        <w:spacing w:after="200" w:line="240" w:lineRule="auto"/>
      </w:pPr>
      <w:r>
        <w:rPr>
          <w:rFonts w:ascii="Calibri" w:hAnsi="Calibri" w:cs="Calibri"/>
          <w:b w:val="0"/>
          <w:i w:val="0"/>
          <w:color w:val="101317"/>
          <w:sz w:val="24"/>
        </w:rPr>
        <w:t>litai perf show and litai perf chart --dir PATH can report on an archived copy of that telemetry directly, so it survives past the disposable build directory being cleaned. Field values shown in the presentation are a representative shape, not a claim about any specific historical run's exact numbers.</w:t>
      </w:r>
    </w:p>
    <w:p>
      <w:pPr>
        <w:pStyle w:val="Heading2"/>
      </w:pPr>
      <w:r>
        <w:rPr>
          <w:rFonts w:ascii="Calibri" w:hAnsi="Calibri" w:cs="Calibri"/>
          <w:b/>
          <w:i w:val="0"/>
          <w:color w:val="101317"/>
          <w:sz w:val="36"/>
        </w:rPr>
        <w:t>Provenance: what a release pin protects</w:t>
      </w:r>
    </w:p>
    <w:p>
      <w:pPr>
        <w:pStyle w:val="Heading3"/>
      </w:pPr>
      <w:r>
        <w:rPr>
          <w:rFonts w:ascii="Calibri" w:hAnsi="Calibri" w:cs="Calibri"/>
          <w:b/>
          <w:i w:val="0"/>
          <w:color w:val="101317"/>
          <w:sz w:val="32"/>
        </w:rPr>
        <w:t>The lifecycle-driver trust boundary and its exact digest</w:t>
      </w:r>
    </w:p>
    <w:p>
      <w:pPr>
        <w:spacing w:after="200" w:line="240" w:lineRule="auto"/>
      </w:pPr>
      <w:r>
        <w:rPr>
          <w:rFonts w:ascii="Calibri" w:hAnsi="Calibri" w:cs="Calibri"/>
          <w:b w:val="0"/>
          <w:i w:val="0"/>
          <w:color w:val="101317"/>
          <w:sz w:val="24"/>
        </w:rPr>
        <w:t>The lifecycle driver's implementation identity is a single content-addressed digest over the exact declared source-file closure that is trusted to execute the project's build, test, and acceptance lifecycle. Any change under that closure invalidates the pin; the project fails closed until the pin is explicitly re-recorded, which is itself a reviewable, single-line diff. Re-pin with make driver-review-record. Authority: src/literate_ai/adapters/project_lifecycle_driver.py and scripts/review_lifecycle_driver.py.</w:t>
      </w:r>
    </w:p>
    <w:p>
      <w:pPr>
        <w:pStyle w:val="Heading3"/>
      </w:pPr>
      <w:r>
        <w:rPr>
          <w:rFonts w:ascii="Calibri" w:hAnsi="Calibri" w:cs="Calibri"/>
          <w:b/>
          <w:i w:val="0"/>
          <w:color w:val="101317"/>
          <w:sz w:val="32"/>
        </w:rPr>
        <w:t>The documentation-authority marker</w:t>
      </w:r>
    </w:p>
    <w:p>
      <w:pPr>
        <w:spacing w:after="200" w:line="240" w:lineRule="auto"/>
      </w:pPr>
      <w:r>
        <w:rPr>
          <w:rFonts w:ascii="Calibri" w:hAnsi="Calibri" w:cs="Calibri"/>
          <w:b w:val="0"/>
          <w:i w:val="0"/>
          <w:color w:val="101317"/>
          <w:sz w:val="24"/>
        </w:rPr>
        <w:t>docs/architecture/design-traceability.md carries a literate-ai:authority-reviewed sha256 marker. The same fail-closed pattern applies to the declared documentation surface: a stale marker blocks litai project validate until a human re-reviews and re-records it with make documentation-review-record.</w:t>
      </w:r>
    </w:p>
    <w:p>
      <w:pPr>
        <w:pStyle w:val="Heading3"/>
      </w:pPr>
      <w:r>
        <w:rPr>
          <w:rFonts w:ascii="Calibri" w:hAnsi="Calibri" w:cs="Calibri"/>
          <w:b/>
          <w:i w:val="0"/>
          <w:color w:val="101317"/>
          <w:sz w:val="32"/>
        </w:rPr>
        <w:t>What happens when either goes stale</w:t>
      </w:r>
    </w:p>
    <w:p>
      <w:pPr>
        <w:spacing w:after="200" w:line="240" w:lineRule="auto"/>
      </w:pPr>
      <w:r>
        <w:rPr>
          <w:rFonts w:ascii="Calibri" w:hAnsi="Calibri" w:cs="Calibri"/>
          <w:b w:val="0"/>
          <w:i w:val="0"/>
          <w:color w:val="101317"/>
          <w:sz w:val="24"/>
        </w:rPr>
        <w:t>The project fails closed. Re-recording is never an implicit side effect of a normal run. The release evidence ledger indexes and points to evidence; it does not authorize a build or accept a release. Inspect it with litai release evidence explain, index, show, and prune.</w:t>
      </w:r>
    </w:p>
    <w:p>
      <w:pPr>
        <w:spacing w:after="200" w:line="240" w:lineRule="auto"/>
      </w:pPr>
      <w:r>
        <w:rPr>
          <w:rFonts w:ascii="Calibri" w:hAnsi="Calibri" w:cs="Calibri"/>
          <w:b w:val="0"/>
          <w:i w:val="0"/>
          <w:color w:val="101317"/>
          <w:sz w:val="24"/>
        </w:rPr>
        <w:t>0.7.1 also ships two related mechanics that are not extra release gates: tests prefer supported public CLI and Python APIs (CONTRIBUTING.md, TEST-PUBLIC-001), and a genuine large Component-lock semantic diff is reviewed in bounded pages then replaced atomically (docs/decisions/0020-paginated-component-lock-review.md).</w:t>
      </w:r>
    </w:p>
    <w:p>
      <w:pPr>
        <w:pStyle w:val="Heading1"/>
      </w:pPr>
      <w:r>
        <w:rPr>
          <w:rFonts w:ascii="Calibri" w:hAnsi="Calibri" w:cs="Calibri"/>
          <w:b/>
          <w:i w:val="0"/>
          <w:color w:val="101317"/>
          <w:sz w:val="40"/>
        </w:rPr>
        <w:t>Where this is going</w:t>
      </w:r>
    </w:p>
    <w:p>
      <w:pPr>
        <w:pStyle w:val="Heading2"/>
      </w:pPr>
      <w:r>
        <w:rPr>
          <w:rFonts w:ascii="Calibri" w:hAnsi="Calibri" w:cs="Calibri"/>
          <w:b/>
          <w:i w:val="0"/>
          <w:color w:val="101317"/>
          <w:sz w:val="36"/>
        </w:rPr>
        <w:t>The next hardening horizon</w:t>
      </w:r>
    </w:p>
    <w:p>
      <w:pPr>
        <w:spacing w:after="200" w:line="240" w:lineRule="auto"/>
      </w:pPr>
      <w:r>
        <w:rPr>
          <w:rFonts w:ascii="Calibri" w:hAnsi="Calibri" w:cs="Calibri"/>
          <w:b w:val="0"/>
          <w:i w:val="0"/>
          <w:color w:val="101317"/>
          <w:sz w:val="24"/>
        </w:rPr>
        <w:t>Native custody and the 1.0 operator and release boundaries remain implemented: contribution sweeps, document-pair publication, Standard lifecycle rebind, doctor, status, acknowledged create/adopt plans, explicit conversion stages, and an installed-wheel golden path. 1.1 added dependency-aware bounded action scheduling, provider-neutral cache authority, real local Debian packages, native CLI and gRPC acceptance, and repository-owned worktree placement. The 1.2 release added bounded candidate repair, cross-host action workers, native Mix builds, and forge coordination. The 1.3 candidate adds reviewed original-source binding, target-bound Python projection, FreeBSD worker and target foundations, native SDK tree custody, and retained hardening. The next horizon remains investment framing rather than a measured delivery guarantee.</w:t>
      </w:r>
    </w:p>
    <w:p>
      <w:pPr>
        <w:pStyle w:val="Heading3"/>
      </w:pPr>
      <w:r>
        <w:rPr>
          <w:rFonts w:ascii="Calibri" w:hAnsi="Calibri" w:cs="Calibri"/>
          <w:b/>
          <w:i w:val="0"/>
          <w:color w:val="101317"/>
          <w:sz w:val="32"/>
        </w:rPr>
        <w:t>Operator adoption is now an explicit front door</w:t>
      </w:r>
    </w:p>
    <w:p>
      <w:pPr>
        <w:spacing w:after="200" w:line="240" w:lineRule="auto"/>
      </w:pPr>
      <w:r>
        <w:rPr>
          <w:rFonts w:ascii="Calibri" w:hAnsi="Calibri" w:cs="Calibri"/>
          <w:b w:val="0"/>
          <w:i w:val="0"/>
          <w:color w:val="101317"/>
          <w:sz w:val="24"/>
        </w:rPr>
        <w:t>Installed 1.3 projects retain the project-independent doctor, status over existing authority, lock, receipt, tracker, and host services, acknowledged create/adopt plans, and explicit wrapped, retained, drafted, and qualified stages. Original source remains release authority until current regenerative qualification. A release-candidate-wheel gate proves create through a validated hello project and adopt through a current retained receipt. These are implemented candidate claims inherited from 1.0, not a claim that v1.3.0 is already published.</w:t>
      </w:r>
    </w:p>
    <w:p>
      <w:pPr>
        <w:pStyle w:val="Heading3"/>
      </w:pPr>
      <w:r>
        <w:rPr>
          <w:rFonts w:ascii="Calibri" w:hAnsi="Calibri" w:cs="Calibri"/>
          <w:b/>
          <w:i w:val="0"/>
          <w:color w:val="101317"/>
          <w:sz w:val="32"/>
        </w:rPr>
        <w:t>Exact scheduling, cache, package, and native acceptance slices</w:t>
      </w:r>
    </w:p>
    <w:p>
      <w:pPr>
        <w:spacing w:after="200" w:line="240" w:lineRule="auto"/>
      </w:pPr>
      <w:r>
        <w:rPr>
          <w:rFonts w:ascii="Calibri" w:hAnsi="Calibri" w:cs="Calibri"/>
          <w:b w:val="0"/>
          <w:i w:val="0"/>
          <w:color w:val="101317"/>
          <w:sz w:val="24"/>
        </w:rPr>
        <w:t>The 1.1 release projects exact lifecycle actions into a deterministic dependency DAG and dispatches newly ready work through bounded capability-matched slots while isolating descendant cancellation and rejecting changed recovery routes. Local and HTTPS/WebDAV cache authority projects to Bazel and sccache, and immutable test, package, and container objects are rehashed before reuse. The package-apt path constructs and independently inspects real deterministic Debian archives on Linux. Native CLI and native gRPC acceptance retain exact executable, stream, filesystem, descriptor, transport, deadline, status, evidence, and shutdown boundaries.</w:t>
      </w:r>
    </w:p>
    <w:p>
      <w:pPr>
        <w:spacing w:after="200" w:line="240" w:lineRule="auto"/>
      </w:pPr>
      <w:r>
        <w:rPr>
          <w:rFonts w:ascii="Calibri" w:hAnsi="Calibri" w:cs="Calibri"/>
          <w:b w:val="0"/>
          <w:i w:val="0"/>
          <w:color w:val="101317"/>
          <w:sz w:val="24"/>
        </w:rPr>
        <w:t>Those are bounded implemented slices, not a claim of complete production lifecycle composition. Production command and SSH dispatch, measured real LAN warm-cache hits, remote native-package custody, complete synthetic native-CLI lifecycle proof, and audited legacy-worktree retirement remain open. Production action-DAG dispatch with multi-worker shared-LAN-cache qualification remains deferred to 1.4.</w:t>
      </w:r>
    </w:p>
    <w:p>
      <w:pPr>
        <w:pStyle w:val="Heading3"/>
      </w:pPr>
      <w:r>
        <w:rPr>
          <w:rFonts w:ascii="Calibri" w:hAnsi="Calibri" w:cs="Calibri"/>
          <w:b/>
          <w:i w:val="0"/>
          <w:color w:val="101317"/>
          <w:sz w:val="32"/>
        </w:rPr>
        <w:t>What 1.3 adds: retained source and native custody</w:t>
      </w:r>
    </w:p>
    <w:p>
      <w:pPr>
        <w:spacing w:after="200" w:line="240" w:lineRule="auto"/>
      </w:pPr>
      <w:r>
        <w:rPr>
          <w:rFonts w:ascii="Calibri" w:hAnsi="Calibri" w:cs="Calibri"/>
          <w:b w:val="0"/>
          <w:i w:val="0"/>
          <w:color w:val="101317"/>
          <w:sz w:val="24"/>
        </w:rPr>
        <w:t>Reviewed first Standard binding and original-source admission preserve an existing receipt policy, historical evidence, and source authority while refusing stale plans, policy weakening, and custom executable-driver replacement. These framework paths do not by themselves grant retained execution or downstream release admission.</w:t>
      </w:r>
    </w:p>
    <w:p>
      <w:pPr>
        <w:spacing w:after="200" w:line="240" w:lineRule="auto"/>
      </w:pPr>
      <w:r>
        <w:rPr>
          <w:rFonts w:ascii="Calibri" w:hAnsi="Calibri" w:cs="Calibri"/>
          <w:b w:val="0"/>
          <w:i w:val="0"/>
          <w:color w:val="101317"/>
          <w:sz w:val="24"/>
        </w:rPr>
        <w:t>Target-bound Python source projection keeps original source and requirements intact while binding reviewed backend exclusions to exact marker, lock, and source identities. FreeBSD worker and target identities, host observations, and native package foundations also landed, but complete platform and downstream lifecycle admission remain open.</w:t>
      </w:r>
    </w:p>
    <w:p>
      <w:pPr>
        <w:spacing w:after="200" w:line="240" w:lineRule="auto"/>
      </w:pPr>
      <w:r>
        <w:rPr>
          <w:rFonts w:ascii="Calibri" w:hAnsi="Calibri" w:cs="Calibri"/>
          <w:b w:val="0"/>
          <w:i w:val="0"/>
          <w:color w:val="101317"/>
          <w:sz w:val="24"/>
        </w:rPr>
        <w:t>Versioned SDK tree, alias, hard-link, package-plan, and topology contracts preserve exact producer and consumer custody through capture, relocation, inspection, and packaging. Retained execution also binds native Windows system context, executable intent, captured runtime paths, scoped secondary identities, and current installed bytes. Decoding or relocating a tree grants no producer, package, or release admission.</w:t>
      </w:r>
    </w:p>
    <w:p>
      <w:pPr>
        <w:spacing w:after="200" w:line="240" w:lineRule="auto"/>
      </w:pPr>
      <w:r>
        <w:rPr>
          <w:rFonts w:ascii="Calibri" w:hAnsi="Calibri" w:cs="Calibri"/>
          <w:b w:val="0"/>
          <w:i w:val="0"/>
          <w:color w:val="101317"/>
          <w:sz w:val="24"/>
        </w:rPr>
        <w:t>The release sweep defers incomplete work rather than promoting partial native evidence. Windows diagnostics, observation cost, ACL preflight, and fixture repairs move to 1.3.1. Complete FreeBSD admission, Windows ARM64 realization, remote native packaging, production action-DAG and LAN-cache qualification, and broader retained-project contracts move to 1.4.</w:t>
      </w:r>
    </w:p>
    <w:p>
      <w:pPr>
        <w:pStyle w:val="Heading3"/>
      </w:pPr>
      <w:r>
        <w:rPr>
          <w:rFonts w:ascii="Calibri" w:hAnsi="Calibri" w:cs="Calibri"/>
          <w:b/>
          <w:i w:val="0"/>
          <w:color w:val="101317"/>
          <w:sz w:val="32"/>
        </w:rPr>
        <w:t>Production containment backends</w:t>
      </w:r>
    </w:p>
    <w:p>
      <w:pPr>
        <w:spacing w:after="200" w:line="240" w:lineRule="auto"/>
      </w:pPr>
      <w:r>
        <w:rPr>
          <w:rFonts w:ascii="Calibri" w:hAnsi="Calibri" w:cs="Calibri"/>
          <w:b w:val="0"/>
          <w:i w:val="0"/>
          <w:color w:val="101317"/>
          <w:sz w:val="24"/>
        </w:rPr>
        <w:t>Realize the existing production-containment contract as supported OS-enforced host backends. The current explicit host-execution path is not a security boundary.</w:t>
      </w:r>
    </w:p>
    <w:p>
      <w:pPr>
        <w:pStyle w:val="Heading3"/>
      </w:pPr>
      <w:r>
        <w:rPr>
          <w:rFonts w:ascii="Calibri" w:hAnsi="Calibri" w:cs="Calibri"/>
          <w:b/>
          <w:i w:val="0"/>
          <w:color w:val="101317"/>
          <w:sz w:val="32"/>
        </w:rPr>
        <w:t>Multi-entrypoint deployment and rollback</w:t>
      </w:r>
    </w:p>
    <w:p>
      <w:pPr>
        <w:spacing w:after="200" w:line="240" w:lineRule="auto"/>
      </w:pPr>
      <w:r>
        <w:rPr>
          <w:rFonts w:ascii="Calibri" w:hAnsi="Calibri" w:cs="Calibri"/>
          <w:b w:val="0"/>
          <w:i w:val="0"/>
          <w:color w:val="101317"/>
          <w:sz w:val="24"/>
        </w:rPr>
        <w:t>Automate launch, health, upgrade, and rollback for the deployment units that 0.9 already builds and accepts, without collapsing their evidence or authority.</w:t>
      </w:r>
    </w:p>
    <w:p>
      <w:pPr>
        <w:pStyle w:val="Heading3"/>
      </w:pPr>
      <w:r>
        <w:rPr>
          <w:rFonts w:ascii="Calibri" w:hAnsi="Calibri" w:cs="Calibri"/>
          <w:b/>
          <w:i w:val="0"/>
          <w:color w:val="101317"/>
          <w:sz w:val="32"/>
        </w:rPr>
        <w:t>Native application-package formats</w:t>
      </w:r>
    </w:p>
    <w:p>
      <w:pPr>
        <w:spacing w:after="200" w:line="240" w:lineRule="auto"/>
      </w:pPr>
      <w:r>
        <w:rPr>
          <w:rFonts w:ascii="Calibri" w:hAnsi="Calibri" w:cs="Calibri"/>
          <w:b w:val="0"/>
          <w:i w:val="0"/>
          <w:color w:val="101317"/>
          <w:sz w:val="24"/>
        </w:rPr>
        <w:t>Extend the qualified local Debian construction path to compatible remote workers with exact returned artifact and inspection-evidence custody, then address remaining provider formats without treating host prerequisite installation as package proof.</w:t>
      </w:r>
    </w:p>
    <w:p>
      <w:pPr>
        <w:pStyle w:val="Heading2"/>
      </w:pPr>
      <w:r>
        <w:rPr>
          <w:rFonts w:ascii="Calibri" w:hAnsi="Calibri" w:cs="Calibri"/>
          <w:b/>
          <w:i w:val="0"/>
          <w:color w:val="101317"/>
          <w:sz w:val="36"/>
        </w:rPr>
        <w:t>The portfolio destination</w:t>
      </w:r>
    </w:p>
    <w:p>
      <w:pPr>
        <w:spacing w:after="200" w:line="240" w:lineRule="auto"/>
      </w:pPr>
      <w:r>
        <w:rPr>
          <w:rFonts w:ascii="Calibri" w:hAnsi="Calibri" w:cs="Calibri"/>
          <w:b w:val="0"/>
          <w:i w:val="0"/>
          <w:color w:val="101317"/>
          <w:sz w:val="24"/>
        </w:rPr>
        <w:t>The long-term destination is a living portfolio of intent: shared capabilities evolve once, products compose them independently, and every change carries its dependency path and proof forward. Portfolio-scale concurrency is design intent. No throughput figure is a measured result. Any product-studio implementation claim is intentionally absent: the inspected successor project is a specification scaffold without an indexed implementation surface.</w:t>
      </w:r>
    </w:p>
    <w:p>
      <w:pPr>
        <w:pStyle w:val="Heading1"/>
      </w:pPr>
      <w:r>
        <w:rPr>
          <w:rFonts w:ascii="Calibri" w:hAnsi="Calibri" w:cs="Calibri"/>
          <w:b/>
          <w:i w:val="0"/>
          <w:color w:val="101317"/>
          <w:sz w:val="40"/>
        </w:rPr>
        <w:t>How to engage</w:t>
      </w:r>
    </w:p>
    <w:p>
      <w:pPr>
        <w:pStyle w:val="Heading2"/>
      </w:pPr>
      <w:r>
        <w:rPr>
          <w:rFonts w:ascii="Calibri" w:hAnsi="Calibri" w:cs="Calibri"/>
          <w:b/>
          <w:i w:val="0"/>
          <w:color w:val="101317"/>
          <w:sz w:val="36"/>
        </w:rPr>
        <w:t>Starting with one demanding application</w:t>
      </w:r>
    </w:p>
    <w:p>
      <w:pPr>
        <w:spacing w:after="200" w:line="240" w:lineRule="auto"/>
      </w:pPr>
      <w:r>
        <w:rPr>
          <w:rFonts w:ascii="Calibri" w:hAnsi="Calibri" w:cs="Calibri"/>
          <w:b w:val="0"/>
          <w:i w:val="0"/>
          <w:color w:val="101317"/>
          <w:sz w:val="24"/>
        </w:rPr>
        <w:t>Use the operator front door on one demanding downstream application and carry it through an explicit retained receipt. Use the next investment cycle for production containment and operational hardening while preserving the architecture needed for many. The requested decision is production-hardening investment plus selection of that first downstream 1.3 production adoption.</w:t>
      </w:r>
    </w:p>
    <w:p>
      <w:pPr>
        <w:pStyle w:val="Heading2"/>
      </w:pPr>
      <w:r>
        <w:rPr>
          <w:rFonts w:ascii="Calibri" w:hAnsi="Calibri" w:cs="Calibri"/>
          <w:b/>
          <w:i w:val="0"/>
          <w:color w:val="101317"/>
          <w:sz w:val="36"/>
        </w:rPr>
        <w:t>Building for the portfolio</w:t>
      </w:r>
    </w:p>
    <w:p>
      <w:pPr>
        <w:spacing w:after="200" w:line="240" w:lineRule="auto"/>
      </w:pPr>
      <w:r>
        <w:rPr>
          <w:rFonts w:ascii="Calibri" w:hAnsi="Calibri" w:cs="Calibri"/>
          <w:b w:val="0"/>
          <w:i w:val="0"/>
          <w:color w:val="101317"/>
          <w:sz w:val="24"/>
        </w:rPr>
        <w:t>Build for the portfolio from the first application: current gates, no shortcuts, and a regeneratable knowledge system rather than another copied implementation. The presentation and this narrative are the 1.3.0 edition of that argument. They do not grant release authority.</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Literate-AI: the application foundry</dc:title>
  <dc:subject>1.3.0 edition narrative member of component://literate-ai/literate-ai-overview</dc:subject>
  <dc:creator>Literate AI maintainers</dc:creator>
  <cp:keywords/>
  <dc:description>generated by python-docx</dc:description>
  <cp:lastModifiedBy/>
  <cp:revision>1</cp:revision>
  <dcterms:created xsi:type="dcterms:W3CDTF">2013-12-23T23:15:00Z</dcterms:created>
  <dcterms:modified xsi:type="dcterms:W3CDTF">2013-12-23T23:15:00Z</dcterms:modified>
  <cp:category/>
</cp:coreProperties>
</file>